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79AB2" w14:textId="77777777" w:rsidR="006D6E6C" w:rsidRPr="007C54DE" w:rsidRDefault="006A7C93">
      <w:pPr>
        <w:pStyle w:val="Heading1"/>
        <w:spacing w:before="77"/>
        <w:ind w:left="0" w:right="-37"/>
        <w:jc w:val="center"/>
        <w:rPr>
          <w:sz w:val="28"/>
          <w:szCs w:val="28"/>
          <w:u w:val="thick"/>
          <w:lang w:val="fr-CA"/>
        </w:rPr>
      </w:pPr>
      <w:bookmarkStart w:id="0" w:name="DocsID"/>
      <w:bookmarkEnd w:id="0"/>
      <w:r w:rsidRPr="007C54DE">
        <w:rPr>
          <w:sz w:val="28"/>
          <w:szCs w:val="28"/>
          <w:u w:val="thick"/>
          <w:lang w:val="fr-CA"/>
        </w:rPr>
        <w:t>AVIS DE DEMANDE D</w:t>
      </w:r>
      <w:r w:rsidRPr="007C54DE">
        <w:rPr>
          <w:sz w:val="28"/>
          <w:szCs w:val="28"/>
          <w:u w:val="thick"/>
          <w:lang w:val="fr-CA"/>
        </w:rPr>
        <w:t>’APPROBATION DE RÈGLEMENT D’UNE ACTION COLLECTIVE PROPOSÉE CONTRE BUSBUD</w:t>
      </w:r>
    </w:p>
    <w:p w14:paraId="7F966026" w14:textId="77777777" w:rsidR="006D6E6C" w:rsidRDefault="006A7C93">
      <w:pPr>
        <w:spacing w:before="116"/>
        <w:ind w:left="2046" w:right="1908" w:hanging="63"/>
        <w:jc w:val="center"/>
        <w:rPr>
          <w:b/>
          <w:i/>
          <w:iCs/>
          <w:sz w:val="24"/>
          <w:lang w:val="fr-CA"/>
        </w:rPr>
      </w:pPr>
      <w:r>
        <w:rPr>
          <w:b/>
          <w:i/>
          <w:iCs/>
          <w:sz w:val="24"/>
          <w:lang w:val="fr-CA"/>
        </w:rPr>
        <w:t xml:space="preserve">SI VOUS AVEZ ACHETÉ UN BILLET D’AUTOBUS AVEC BUSBUD, À PARTIR DE N’IMPORTE OÙ DANS LE MONDE, VOUS POURRIEZ ÊTRE CONCERNÉ PAR LE PRÉSENT </w:t>
      </w:r>
      <w:r>
        <w:rPr>
          <w:b/>
          <w:i/>
          <w:iCs/>
          <w:sz w:val="24"/>
          <w:lang w:val="fr-CA"/>
        </w:rPr>
        <w:t>RÈGLEMENT PROPOSÉ D’UNE ACTION COLLECTIVE</w:t>
      </w:r>
    </w:p>
    <w:p w14:paraId="46F38891" w14:textId="77777777" w:rsidR="006D6E6C" w:rsidRDefault="006D6E6C">
      <w:pPr>
        <w:pStyle w:val="BodyText"/>
        <w:spacing w:before="9"/>
        <w:ind w:left="0" w:right="0"/>
        <w:jc w:val="left"/>
        <w:rPr>
          <w:b/>
          <w:sz w:val="15"/>
          <w:lang w:val="fr-CA"/>
        </w:rPr>
      </w:pPr>
    </w:p>
    <w:p w14:paraId="07CAF8C6" w14:textId="77777777" w:rsidR="006D6E6C" w:rsidRDefault="006D6E6C">
      <w:pPr>
        <w:rPr>
          <w:sz w:val="15"/>
          <w:lang w:val="fr-CA"/>
        </w:rPr>
        <w:sectPr w:rsidR="006D6E6C">
          <w:headerReference w:type="default" r:id="rId8"/>
          <w:footerReference w:type="default" r:id="rId9"/>
          <w:type w:val="continuous"/>
          <w:pgSz w:w="12240" w:h="15840"/>
          <w:pgMar w:top="780" w:right="600" w:bottom="288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docGrid w:linePitch="299"/>
        </w:sectPr>
      </w:pPr>
    </w:p>
    <w:p w14:paraId="10B66C18" w14:textId="77777777" w:rsidR="006D6E6C" w:rsidRDefault="006A7C93">
      <w:pPr>
        <w:spacing w:before="94"/>
        <w:ind w:left="100"/>
        <w:rPr>
          <w:b/>
        </w:rPr>
      </w:pPr>
      <w:r>
        <w:rPr>
          <w:b/>
        </w:rPr>
        <w:t xml:space="preserve">AVIS DE RÈGLEMENT PROPOSÉ </w:t>
      </w:r>
    </w:p>
    <w:p w14:paraId="415D95FB" w14:textId="77777777" w:rsidR="006D6E6C" w:rsidRDefault="006A7C93">
      <w:pPr>
        <w:pStyle w:val="BodyText"/>
        <w:spacing w:before="119"/>
        <w:rPr>
          <w:lang w:val="fr-CA"/>
        </w:rPr>
      </w:pPr>
      <w:r>
        <w:rPr>
          <w:lang w:val="fr-CA"/>
        </w:rPr>
        <w:t>Cet avis a pour objet de vous informer sur le règlement proposé d’</w:t>
      </w:r>
      <w:r>
        <w:rPr>
          <w:lang w:val="fr-CA"/>
        </w:rPr>
        <w:t xml:space="preserve">une action collective, instituée au Québec, pour le compte d’individus partout dans le monde, pour la perception de frais de services sur les billets d’autobus vendus par la plateforme </w:t>
      </w:r>
      <w:proofErr w:type="spellStart"/>
      <w:r>
        <w:rPr>
          <w:lang w:val="fr-CA"/>
        </w:rPr>
        <w:t>Busbud</w:t>
      </w:r>
      <w:proofErr w:type="spellEnd"/>
      <w:r>
        <w:rPr>
          <w:lang w:val="fr-CA"/>
        </w:rPr>
        <w:t xml:space="preserve">. Le numéro de dossier de la Cour est: </w:t>
      </w:r>
      <w:r>
        <w:rPr>
          <w:i/>
          <w:lang w:val="fr-CA"/>
        </w:rPr>
        <w:t xml:space="preserve">Samson c. </w:t>
      </w:r>
      <w:proofErr w:type="spellStart"/>
      <w:r>
        <w:rPr>
          <w:i/>
          <w:lang w:val="fr-CA"/>
        </w:rPr>
        <w:t>Busbud</w:t>
      </w:r>
      <w:proofErr w:type="spellEnd"/>
      <w:r>
        <w:rPr>
          <w:i/>
          <w:lang w:val="fr-CA"/>
        </w:rPr>
        <w:t>, et al.</w:t>
      </w:r>
      <w:r>
        <w:rPr>
          <w:lang w:val="fr-CA"/>
        </w:rPr>
        <w:t xml:space="preserve">, </w:t>
      </w:r>
      <w:r>
        <w:rPr>
          <w:lang w:val="fr-CA"/>
        </w:rPr>
        <w:t>Cour supérieure No.</w:t>
      </w:r>
      <w:r>
        <w:rPr>
          <w:spacing w:val="-1"/>
          <w:lang w:val="fr-CA"/>
        </w:rPr>
        <w:t xml:space="preserve"> </w:t>
      </w:r>
      <w:r>
        <w:rPr>
          <w:lang w:val="fr-CA"/>
        </w:rPr>
        <w:t>500-06-000919-189 (District de Montréal).</w:t>
      </w:r>
    </w:p>
    <w:p w14:paraId="3E4FA00A" w14:textId="77777777" w:rsidR="006D6E6C" w:rsidRPr="007C54DE" w:rsidRDefault="006A7C93">
      <w:pPr>
        <w:pStyle w:val="Heading1"/>
        <w:spacing w:before="162"/>
        <w:rPr>
          <w:lang w:val="fr-CA"/>
        </w:rPr>
      </w:pPr>
      <w:r w:rsidRPr="007C54DE">
        <w:rPr>
          <w:lang w:val="fr-CA"/>
        </w:rPr>
        <w:t>QUE VISE L’ACTION COLLECTIVE?</w:t>
      </w:r>
    </w:p>
    <w:p w14:paraId="0FBB8204" w14:textId="77777777" w:rsidR="006D6E6C" w:rsidRDefault="006A7C93">
      <w:pPr>
        <w:pStyle w:val="BodyText"/>
        <w:rPr>
          <w:lang w:val="fr-CA"/>
        </w:rPr>
      </w:pPr>
      <w:r>
        <w:rPr>
          <w:lang w:val="fr-CA"/>
        </w:rPr>
        <w:t xml:space="preserve">La plaignante prétend que les billets d’autobus vendus par le biais du site web de </w:t>
      </w:r>
      <w:proofErr w:type="spellStart"/>
      <w:r>
        <w:rPr>
          <w:lang w:val="fr-CA"/>
        </w:rPr>
        <w:t>Busbud</w:t>
      </w:r>
      <w:proofErr w:type="spellEnd"/>
      <w:r>
        <w:rPr>
          <w:lang w:val="fr-CA"/>
        </w:rPr>
        <w:t xml:space="preserve"> et des applications mobiles de </w:t>
      </w:r>
      <w:proofErr w:type="spellStart"/>
      <w:r>
        <w:rPr>
          <w:lang w:val="fr-CA"/>
        </w:rPr>
        <w:t>Busbud</w:t>
      </w:r>
      <w:proofErr w:type="spellEnd"/>
      <w:r>
        <w:rPr>
          <w:lang w:val="fr-CA"/>
        </w:rPr>
        <w:t xml:space="preserve"> ont été vendus à un prix plus </w:t>
      </w:r>
      <w:r>
        <w:rPr>
          <w:lang w:val="fr-CA"/>
        </w:rPr>
        <w:t>élevé que celui affiché initialement, et que les frais de service étaient divulgués ultérieurement dans le cadre du processus d’achat. La Cour ne s’est pas prononcée sur le bien-fondé de ces allégations.</w:t>
      </w:r>
    </w:p>
    <w:p w14:paraId="277799E3" w14:textId="77777777" w:rsidR="006D6E6C" w:rsidRDefault="006A7C93">
      <w:pPr>
        <w:pStyle w:val="Heading1"/>
        <w:ind w:right="41"/>
        <w:jc w:val="both"/>
        <w:rPr>
          <w:lang w:val="fr-CA"/>
        </w:rPr>
      </w:pPr>
      <w:r>
        <w:rPr>
          <w:lang w:val="fr-CA"/>
        </w:rPr>
        <w:t>QUI EST VISÉ PAR L’ACTION COLLECTIVE?</w:t>
      </w:r>
    </w:p>
    <w:p w14:paraId="3257696A" w14:textId="77777777" w:rsidR="006D6E6C" w:rsidRDefault="006A7C93">
      <w:pPr>
        <w:pStyle w:val="Heading1"/>
        <w:jc w:val="both"/>
        <w:rPr>
          <w:lang w:val="fr-CA"/>
        </w:rPr>
      </w:pPr>
      <w:r>
        <w:rPr>
          <w:b w:val="0"/>
          <w:bCs w:val="0"/>
          <w:sz w:val="21"/>
          <w:szCs w:val="21"/>
          <w:lang w:val="fr-CA"/>
        </w:rPr>
        <w:t>Tous les indiv</w:t>
      </w:r>
      <w:r>
        <w:rPr>
          <w:b w:val="0"/>
          <w:bCs w:val="0"/>
          <w:sz w:val="21"/>
          <w:szCs w:val="21"/>
          <w:lang w:val="fr-CA"/>
        </w:rPr>
        <w:t xml:space="preserve">idus, partout dans le monde, qui, à compter du 4 avril 2015 et jusqu’au </w:t>
      </w:r>
      <w:r w:rsidRPr="007C54DE">
        <w:rPr>
          <w:rStyle w:val="Prompt"/>
          <w:b w:val="0"/>
          <w:color w:val="auto"/>
          <w:lang w:val="fr-CA"/>
        </w:rPr>
        <w:t>8</w:t>
      </w:r>
      <w:r>
        <w:rPr>
          <w:b w:val="0"/>
          <w:bCs w:val="0"/>
          <w:sz w:val="21"/>
          <w:szCs w:val="21"/>
          <w:lang w:val="fr-CA"/>
        </w:rPr>
        <w:t xml:space="preserve"> juin 2019, ont acheté un ou plusieurs billets d’autobus via </w:t>
      </w:r>
      <w:proofErr w:type="spellStart"/>
      <w:r>
        <w:rPr>
          <w:b w:val="0"/>
          <w:bCs w:val="0"/>
          <w:sz w:val="21"/>
          <w:szCs w:val="21"/>
          <w:lang w:val="fr-CA"/>
        </w:rPr>
        <w:t>Busbud</w:t>
      </w:r>
      <w:proofErr w:type="spellEnd"/>
      <w:r>
        <w:rPr>
          <w:b w:val="0"/>
          <w:bCs w:val="0"/>
          <w:sz w:val="21"/>
          <w:szCs w:val="21"/>
          <w:lang w:val="fr-CA"/>
        </w:rPr>
        <w:t xml:space="preserve"> (site web et/ou application mobile) et ont payé un frais de service (ou frais similaire) en sus du prix du billet. </w:t>
      </w:r>
    </w:p>
    <w:p w14:paraId="5E73DA14" w14:textId="77777777" w:rsidR="006D6E6C" w:rsidRDefault="006A7C93">
      <w:pPr>
        <w:pStyle w:val="Heading1"/>
        <w:rPr>
          <w:lang w:val="fr-CA"/>
        </w:rPr>
      </w:pPr>
      <w:r>
        <w:rPr>
          <w:lang w:val="fr-CA"/>
        </w:rPr>
        <w:t>EST-CE QUE LE RÈGLEMENT EST EN VIGUEUR?</w:t>
      </w:r>
    </w:p>
    <w:p w14:paraId="1D82118D" w14:textId="77777777" w:rsidR="006D6E6C" w:rsidRDefault="006A7C93">
      <w:pPr>
        <w:pStyle w:val="BodyText"/>
        <w:ind w:right="38"/>
        <w:rPr>
          <w:lang w:val="fr-CA"/>
        </w:rPr>
      </w:pPr>
      <w:r>
        <w:rPr>
          <w:lang w:val="fr-CA"/>
        </w:rPr>
        <w:t xml:space="preserve">Non. Tout règlement doit d’abord être approuvé par la Cour supérieure du Québec avant de pouvoir prendre effet. </w:t>
      </w:r>
    </w:p>
    <w:p w14:paraId="21E8115C" w14:textId="44230B43" w:rsidR="006D6E6C" w:rsidRDefault="006A7C93">
      <w:pPr>
        <w:pStyle w:val="BodyText"/>
        <w:rPr>
          <w:lang w:val="fr-CA"/>
        </w:rPr>
      </w:pPr>
      <w:r>
        <w:rPr>
          <w:lang w:val="fr-CA"/>
        </w:rPr>
        <w:t xml:space="preserve">L’audience d’approbation sera tenue le </w:t>
      </w:r>
      <w:r w:rsidR="007C54DE">
        <w:rPr>
          <w:lang w:val="fr-CA"/>
        </w:rPr>
        <w:t>22 novembre 2019</w:t>
      </w:r>
      <w:r>
        <w:rPr>
          <w:lang w:val="fr-CA"/>
        </w:rPr>
        <w:t xml:space="preserve"> </w:t>
      </w:r>
      <w:proofErr w:type="spellStart"/>
      <w:r>
        <w:rPr>
          <w:lang w:val="fr-CA"/>
        </w:rPr>
        <w:t>a</w:t>
      </w:r>
      <w:proofErr w:type="spellEnd"/>
      <w:r>
        <w:rPr>
          <w:lang w:val="fr-CA"/>
        </w:rPr>
        <w:t xml:space="preserve"> 9:00 </w:t>
      </w:r>
      <w:proofErr w:type="spellStart"/>
      <w:r>
        <w:rPr>
          <w:lang w:val="fr-CA"/>
        </w:rPr>
        <w:t>a.m</w:t>
      </w:r>
      <w:proofErr w:type="spellEnd"/>
      <w:r>
        <w:rPr>
          <w:lang w:val="fr-CA"/>
        </w:rPr>
        <w:t xml:space="preserve">. en salle </w:t>
      </w:r>
      <w:r w:rsidR="007C54DE">
        <w:rPr>
          <w:lang w:val="fr-CA"/>
        </w:rPr>
        <w:t>2.08</w:t>
      </w:r>
      <w:r>
        <w:rPr>
          <w:lang w:val="fr-CA"/>
        </w:rPr>
        <w:t xml:space="preserve"> du palais de justice de Montréal.</w:t>
      </w:r>
    </w:p>
    <w:p w14:paraId="5EEEC6AB" w14:textId="77777777" w:rsidR="006D6E6C" w:rsidRDefault="006A7C93">
      <w:pPr>
        <w:spacing w:before="214"/>
        <w:ind w:left="100"/>
        <w:jc w:val="both"/>
        <w:rPr>
          <w:b/>
          <w:sz w:val="21"/>
          <w:lang w:val="fr-CA"/>
        </w:rPr>
      </w:pPr>
      <w:r>
        <w:rPr>
          <w:b/>
          <w:sz w:val="21"/>
          <w:lang w:val="fr-CA"/>
        </w:rPr>
        <w:t>QUE</w:t>
      </w:r>
      <w:r>
        <w:rPr>
          <w:b/>
          <w:sz w:val="21"/>
          <w:lang w:val="fr-CA"/>
        </w:rPr>
        <w:t xml:space="preserve"> PUIS-JE RECEVOIR DU RÈGLEMENT?</w:t>
      </w:r>
    </w:p>
    <w:p w14:paraId="09487C92" w14:textId="77777777" w:rsidR="006D6E6C" w:rsidRDefault="006A7C93">
      <w:pPr>
        <w:pStyle w:val="BodyText"/>
        <w:spacing w:before="159"/>
        <w:ind w:right="115"/>
        <w:rPr>
          <w:lang w:val="fr-CA"/>
        </w:rPr>
      </w:pPr>
      <w:proofErr w:type="spellStart"/>
      <w:r>
        <w:rPr>
          <w:lang w:val="fr-CA"/>
        </w:rPr>
        <w:t>Busbud</w:t>
      </w:r>
      <w:proofErr w:type="spellEnd"/>
      <w:r>
        <w:rPr>
          <w:lang w:val="fr-CA"/>
        </w:rPr>
        <w:t xml:space="preserve"> va automatiquement émettre à chaque membre du groupe un bon d’une valeur de sept dollars ($7.00CAD), sans égard au nombre de billets achetés. Les bons doivent être utilisés à l’intérieur des douze mois et sont transfé</w:t>
      </w:r>
      <w:r>
        <w:rPr>
          <w:lang w:val="fr-CA"/>
        </w:rPr>
        <w:t xml:space="preserve">rables. </w:t>
      </w:r>
    </w:p>
    <w:p w14:paraId="3CDF967A" w14:textId="77777777" w:rsidR="006D6E6C" w:rsidRDefault="006A7C93">
      <w:pPr>
        <w:spacing w:before="214"/>
        <w:ind w:left="100"/>
        <w:jc w:val="both"/>
        <w:rPr>
          <w:b/>
          <w:sz w:val="21"/>
          <w:lang w:val="fr-CA"/>
        </w:rPr>
      </w:pPr>
      <w:r>
        <w:rPr>
          <w:b/>
          <w:sz w:val="21"/>
          <w:lang w:val="fr-CA"/>
        </w:rPr>
        <w:t>EST CE QUE BUSBUD VA CHANGER SA FAÇON D’AFFICHER LES PRIX?</w:t>
      </w:r>
    </w:p>
    <w:p w14:paraId="689C8AF4" w14:textId="77777777" w:rsidR="006D6E6C" w:rsidRDefault="006A7C93">
      <w:pPr>
        <w:pStyle w:val="BodyText"/>
        <w:spacing w:before="159"/>
        <w:ind w:right="115"/>
        <w:rPr>
          <w:lang w:val="fr-CA"/>
        </w:rPr>
      </w:pPr>
      <w:r>
        <w:rPr>
          <w:lang w:val="fr-CA"/>
        </w:rPr>
        <w:t xml:space="preserve">En plus d’émettre un bon à chaque membre du groupe, </w:t>
      </w:r>
      <w:proofErr w:type="spellStart"/>
      <w:r>
        <w:rPr>
          <w:lang w:val="fr-CA"/>
        </w:rPr>
        <w:t>Busbud</w:t>
      </w:r>
      <w:proofErr w:type="spellEnd"/>
      <w:r>
        <w:rPr>
          <w:lang w:val="fr-CA"/>
        </w:rPr>
        <w:t xml:space="preserve"> va entreprendre, dans les 90 jours de l’approbation du règlement, d’afficher un prix tout inclus à chaque étape du processus d’ac</w:t>
      </w:r>
      <w:r>
        <w:rPr>
          <w:lang w:val="fr-CA"/>
        </w:rPr>
        <w:t xml:space="preserve">hat sur son site web et sur ses applications mobiles pour tous les utilisateurs qui y accèdent par une adresse IP canadienne. </w:t>
      </w:r>
    </w:p>
    <w:p w14:paraId="588B9B2A" w14:textId="77777777" w:rsidR="006D6E6C" w:rsidRDefault="006A7C93">
      <w:pPr>
        <w:spacing w:before="214"/>
        <w:ind w:left="100"/>
        <w:jc w:val="both"/>
        <w:rPr>
          <w:b/>
          <w:sz w:val="21"/>
        </w:rPr>
      </w:pPr>
      <w:r>
        <w:rPr>
          <w:lang w:val="fr-CA"/>
        </w:rPr>
        <w:br w:type="column"/>
      </w:r>
      <w:r>
        <w:rPr>
          <w:b/>
          <w:sz w:val="21"/>
        </w:rPr>
        <w:lastRenderedPageBreak/>
        <w:t>QUELLES SONT MES OPTIONS?</w:t>
      </w:r>
    </w:p>
    <w:p w14:paraId="7ECC8301" w14:textId="77777777" w:rsidR="006D6E6C" w:rsidRDefault="006A7C93">
      <w:pPr>
        <w:pStyle w:val="BodyText"/>
        <w:numPr>
          <w:ilvl w:val="0"/>
          <w:numId w:val="2"/>
        </w:numPr>
        <w:ind w:right="115"/>
        <w:rPr>
          <w:lang w:val="fr-CA"/>
        </w:rPr>
      </w:pPr>
      <w:r>
        <w:rPr>
          <w:b/>
          <w:bCs/>
          <w:lang w:val="fr-CA"/>
        </w:rPr>
        <w:t>Si vous désirez bénéficier du règlement</w:t>
      </w:r>
      <w:r>
        <w:rPr>
          <w:lang w:val="fr-CA"/>
        </w:rPr>
        <w:t xml:space="preserve"> et en recevoir les bénéfices, aucune action n’est requise de v</w:t>
      </w:r>
      <w:r>
        <w:rPr>
          <w:lang w:val="fr-CA"/>
        </w:rPr>
        <w:t>otre part. Vous allez alors être tenus aux termes de la quittance contenue dans l’entente de règlement.</w:t>
      </w:r>
    </w:p>
    <w:p w14:paraId="06CABB06" w14:textId="77777777" w:rsidR="006D6E6C" w:rsidRDefault="006A7C93">
      <w:pPr>
        <w:pStyle w:val="BodyText"/>
        <w:numPr>
          <w:ilvl w:val="0"/>
          <w:numId w:val="2"/>
        </w:numPr>
        <w:tabs>
          <w:tab w:val="left" w:pos="1746"/>
          <w:tab w:val="left" w:pos="2770"/>
          <w:tab w:val="left" w:pos="4184"/>
          <w:tab w:val="left" w:pos="4964"/>
        </w:tabs>
        <w:spacing w:before="161"/>
        <w:ind w:right="115"/>
        <w:rPr>
          <w:lang w:val="fr-CA"/>
        </w:rPr>
      </w:pPr>
      <w:r>
        <w:rPr>
          <w:b/>
          <w:bCs/>
          <w:lang w:val="fr-CA"/>
        </w:rPr>
        <w:t xml:space="preserve">Si vous ne désirez pas participer au règlement, </w:t>
      </w:r>
      <w:r>
        <w:rPr>
          <w:lang w:val="fr-CA"/>
        </w:rPr>
        <w:t>vous pouvez vous exclure de l’action collective en remplissant et produisant à la Cour les documents d’e</w:t>
      </w:r>
      <w:r>
        <w:rPr>
          <w:lang w:val="fr-CA"/>
        </w:rPr>
        <w:t>xclusion tel qu’expliqué dans l’avis au long.</w:t>
      </w:r>
      <w:r>
        <w:rPr>
          <w:b/>
          <w:bCs/>
          <w:lang w:val="fr-CA"/>
        </w:rPr>
        <w:t xml:space="preserve"> </w:t>
      </w:r>
    </w:p>
    <w:p w14:paraId="2A7579D2" w14:textId="17DE70D7" w:rsidR="006D6E6C" w:rsidRDefault="006A7C93">
      <w:pPr>
        <w:pStyle w:val="BodyText"/>
        <w:numPr>
          <w:ilvl w:val="0"/>
          <w:numId w:val="2"/>
        </w:numPr>
        <w:spacing w:before="158"/>
        <w:ind w:right="115"/>
        <w:rPr>
          <w:lang w:val="fr-CA"/>
        </w:rPr>
      </w:pPr>
      <w:r>
        <w:rPr>
          <w:lang w:val="fr-CA"/>
        </w:rPr>
        <w:t xml:space="preserve">Si vous </w:t>
      </w:r>
      <w:r>
        <w:rPr>
          <w:b/>
          <w:bCs/>
          <w:lang w:val="fr-CA"/>
        </w:rPr>
        <w:t>désirez vous objecter aux termes de l’entente proposée,</w:t>
      </w:r>
      <w:r>
        <w:rPr>
          <w:lang w:val="fr-CA"/>
        </w:rPr>
        <w:t xml:space="preserve"> vous pouvez écrire aux procureurs en demande avant le </w:t>
      </w:r>
      <w:r w:rsidR="007C54DE">
        <w:rPr>
          <w:lang w:val="fr-CA"/>
        </w:rPr>
        <w:t>15 novembre 2019</w:t>
      </w:r>
      <w:r>
        <w:rPr>
          <w:lang w:val="fr-CA"/>
        </w:rPr>
        <w:t xml:space="preserve"> selon les étapes détaillées dans l’avis au long. Veuillez noter que la C</w:t>
      </w:r>
      <w:r>
        <w:rPr>
          <w:lang w:val="fr-CA"/>
        </w:rPr>
        <w:t xml:space="preserve">our ne peut pas changer les termes de l’entente. Toute objection sera considérée par la Cour pour considérer si elle devrait ou non approuver l’entente. </w:t>
      </w:r>
    </w:p>
    <w:p w14:paraId="77CF404E" w14:textId="77777777" w:rsidR="006D6E6C" w:rsidRDefault="006A7C93">
      <w:pPr>
        <w:spacing w:before="160"/>
        <w:ind w:left="100"/>
        <w:jc w:val="both"/>
        <w:rPr>
          <w:b/>
          <w:sz w:val="21"/>
          <w:lang w:val="fr-CA"/>
        </w:rPr>
      </w:pPr>
      <w:r>
        <w:rPr>
          <w:b/>
          <w:sz w:val="21"/>
          <w:lang w:val="fr-CA"/>
        </w:rPr>
        <w:t>QUI REPRÉSENTE LES MEMBRES DU GROUPE?</w:t>
      </w:r>
    </w:p>
    <w:p w14:paraId="64E2FA6D" w14:textId="77777777" w:rsidR="006D6E6C" w:rsidRDefault="006A7C93">
      <w:pPr>
        <w:spacing w:before="45" w:line="251" w:lineRule="exact"/>
        <w:ind w:left="100"/>
        <w:jc w:val="both"/>
        <w:rPr>
          <w:lang w:val="fr-CA"/>
        </w:rPr>
      </w:pPr>
      <w:r>
        <w:rPr>
          <w:lang w:val="fr-CA"/>
        </w:rPr>
        <w:t>La plaignante et les membres du groupe sont représentés par :</w:t>
      </w:r>
    </w:p>
    <w:p w14:paraId="72AE1ECE" w14:textId="77777777" w:rsidR="006D6E6C" w:rsidRDefault="006D6E6C">
      <w:pPr>
        <w:pStyle w:val="BodyText"/>
        <w:spacing w:before="12" w:line="252" w:lineRule="auto"/>
        <w:ind w:left="1135" w:right="1126" w:hanging="17"/>
        <w:rPr>
          <w:w w:val="105"/>
          <w:lang w:val="fr-CA"/>
        </w:rPr>
      </w:pPr>
    </w:p>
    <w:p w14:paraId="1CE0C4AB" w14:textId="77777777" w:rsidR="006D6E6C" w:rsidRDefault="006A7C93">
      <w:pPr>
        <w:pStyle w:val="BodyText"/>
        <w:spacing w:before="12" w:line="252" w:lineRule="auto"/>
        <w:ind w:right="25"/>
        <w:jc w:val="center"/>
        <w:rPr>
          <w:b/>
          <w:bCs/>
          <w:w w:val="105"/>
          <w:lang w:val="fr-CA"/>
        </w:rPr>
      </w:pPr>
      <w:r>
        <w:rPr>
          <w:b/>
          <w:bCs/>
          <w:w w:val="105"/>
          <w:lang w:val="fr-CA"/>
        </w:rPr>
        <w:t>Me Sebastien A. Paquette and Jérémie Martin</w:t>
      </w:r>
    </w:p>
    <w:p w14:paraId="75E58319" w14:textId="77777777" w:rsidR="006D6E6C" w:rsidRDefault="006A7C93">
      <w:pPr>
        <w:pStyle w:val="BodyText"/>
        <w:spacing w:before="12" w:line="252" w:lineRule="auto"/>
        <w:ind w:left="0" w:right="25"/>
        <w:jc w:val="center"/>
        <w:rPr>
          <w:w w:val="105"/>
        </w:rPr>
      </w:pPr>
      <w:r>
        <w:rPr>
          <w:w w:val="105"/>
        </w:rPr>
        <w:t>Champlain Avocats</w:t>
      </w:r>
    </w:p>
    <w:p w14:paraId="00E35205" w14:textId="77777777" w:rsidR="006D6E6C" w:rsidRDefault="006A7C93">
      <w:pPr>
        <w:pStyle w:val="BodyText"/>
        <w:spacing w:before="12" w:line="252" w:lineRule="auto"/>
        <w:ind w:left="0" w:right="25"/>
        <w:jc w:val="center"/>
        <w:rPr>
          <w:w w:val="105"/>
        </w:rPr>
      </w:pPr>
      <w:r>
        <w:rPr>
          <w:w w:val="105"/>
        </w:rPr>
        <w:t>1434 Sainte-Catherine Street West, Suite 200</w:t>
      </w:r>
    </w:p>
    <w:p w14:paraId="2BCE27B7" w14:textId="77777777" w:rsidR="006D6E6C" w:rsidRDefault="006A7C93">
      <w:pPr>
        <w:pStyle w:val="BodyText"/>
        <w:spacing w:before="12" w:line="252" w:lineRule="auto"/>
        <w:ind w:left="0" w:right="25"/>
        <w:jc w:val="center"/>
        <w:rPr>
          <w:lang w:val="fr-CA"/>
        </w:rPr>
      </w:pPr>
      <w:r>
        <w:rPr>
          <w:w w:val="105"/>
          <w:lang w:val="fr-CA"/>
        </w:rPr>
        <w:t>Montréal, Québec H3G 1R4</w:t>
      </w:r>
    </w:p>
    <w:p w14:paraId="1ED65D2B" w14:textId="77777777" w:rsidR="006D6E6C" w:rsidRDefault="006D6E6C">
      <w:pPr>
        <w:pStyle w:val="BodyText"/>
        <w:spacing w:before="12" w:line="252" w:lineRule="auto"/>
        <w:ind w:left="1135" w:right="25" w:hanging="17"/>
        <w:jc w:val="center"/>
        <w:rPr>
          <w:w w:val="105"/>
          <w:lang w:val="fr-CA"/>
        </w:rPr>
      </w:pPr>
    </w:p>
    <w:p w14:paraId="20C0F6C1" w14:textId="77777777" w:rsidR="006D6E6C" w:rsidRDefault="006A7C93">
      <w:pPr>
        <w:pStyle w:val="BodyText"/>
        <w:spacing w:before="12" w:line="252" w:lineRule="auto"/>
        <w:ind w:left="0" w:right="25"/>
        <w:jc w:val="center"/>
        <w:rPr>
          <w:b/>
          <w:bCs/>
          <w:w w:val="105"/>
          <w:lang w:val="fr-CA"/>
        </w:rPr>
      </w:pPr>
      <w:r>
        <w:rPr>
          <w:b/>
          <w:bCs/>
          <w:w w:val="105"/>
          <w:lang w:val="fr-CA"/>
        </w:rPr>
        <w:t>M. Simon Lin</w:t>
      </w:r>
    </w:p>
    <w:p w14:paraId="25C707D2" w14:textId="77777777" w:rsidR="006D6E6C" w:rsidRDefault="006A7C93">
      <w:pPr>
        <w:pStyle w:val="BodyText"/>
        <w:spacing w:before="12" w:line="252" w:lineRule="auto"/>
        <w:ind w:left="0" w:right="25"/>
        <w:jc w:val="center"/>
        <w:rPr>
          <w:w w:val="105"/>
        </w:rPr>
      </w:pPr>
      <w:proofErr w:type="spellStart"/>
      <w:r>
        <w:rPr>
          <w:w w:val="105"/>
        </w:rPr>
        <w:t>Evolink</w:t>
      </w:r>
      <w:proofErr w:type="spellEnd"/>
      <w:r>
        <w:rPr>
          <w:w w:val="105"/>
        </w:rPr>
        <w:t xml:space="preserve"> Law Group</w:t>
      </w:r>
    </w:p>
    <w:p w14:paraId="5F83B9DF" w14:textId="77777777" w:rsidR="006D6E6C" w:rsidRDefault="006A7C93">
      <w:pPr>
        <w:pStyle w:val="BodyText"/>
        <w:spacing w:before="12" w:line="252" w:lineRule="auto"/>
        <w:ind w:left="0" w:right="25"/>
        <w:jc w:val="center"/>
        <w:rPr>
          <w:w w:val="105"/>
        </w:rPr>
      </w:pPr>
      <w:r>
        <w:rPr>
          <w:w w:val="105"/>
        </w:rPr>
        <w:t>4388 Still Creek Drive, Suite 237</w:t>
      </w:r>
    </w:p>
    <w:p w14:paraId="5B7E9982" w14:textId="77777777" w:rsidR="006D6E6C" w:rsidRPr="007C54DE" w:rsidRDefault="006A7C93">
      <w:pPr>
        <w:pStyle w:val="BodyText"/>
        <w:spacing w:before="12" w:line="252" w:lineRule="auto"/>
        <w:ind w:left="0" w:right="25"/>
        <w:jc w:val="center"/>
        <w:rPr>
          <w:w w:val="105"/>
          <w:lang w:val="fr-CA"/>
        </w:rPr>
      </w:pPr>
      <w:r w:rsidRPr="007C54DE">
        <w:rPr>
          <w:w w:val="105"/>
          <w:lang w:val="fr-CA"/>
        </w:rPr>
        <w:t>Burnaby, British Columbia V5C 6C6</w:t>
      </w:r>
    </w:p>
    <w:p w14:paraId="22D3EB31" w14:textId="77777777" w:rsidR="006D6E6C" w:rsidRDefault="006A7C93">
      <w:pPr>
        <w:spacing w:before="160"/>
        <w:jc w:val="both"/>
        <w:rPr>
          <w:b/>
          <w:sz w:val="21"/>
          <w:lang w:val="fr-CA"/>
        </w:rPr>
      </w:pPr>
      <w:r>
        <w:rPr>
          <w:b/>
          <w:sz w:val="21"/>
          <w:lang w:val="fr-CA"/>
        </w:rPr>
        <w:t>VA-T-ON ME CHARGER DES F</w:t>
      </w:r>
      <w:r>
        <w:rPr>
          <w:b/>
          <w:sz w:val="21"/>
          <w:lang w:val="fr-CA"/>
        </w:rPr>
        <w:t>RAIS D’AVOCAT?</w:t>
      </w:r>
    </w:p>
    <w:p w14:paraId="36F27DE9" w14:textId="77777777" w:rsidR="006D6E6C" w:rsidRDefault="006A7C93">
      <w:pPr>
        <w:tabs>
          <w:tab w:val="left" w:pos="4863"/>
        </w:tabs>
        <w:spacing w:before="117"/>
        <w:ind w:right="115"/>
        <w:jc w:val="both"/>
        <w:rPr>
          <w:bCs/>
          <w:lang w:val="fr-CA"/>
        </w:rPr>
      </w:pPr>
      <w:r>
        <w:rPr>
          <w:bCs/>
          <w:lang w:val="fr-CA"/>
        </w:rPr>
        <w:t xml:space="preserve">Non, il n’y a aucune obligation financière pour les membres du groupe. </w:t>
      </w:r>
    </w:p>
    <w:p w14:paraId="0FD51596" w14:textId="77777777" w:rsidR="006D6E6C" w:rsidRPr="007C54DE" w:rsidRDefault="006A7C93">
      <w:pPr>
        <w:tabs>
          <w:tab w:val="left" w:pos="4863"/>
        </w:tabs>
        <w:spacing w:before="117"/>
        <w:ind w:right="115"/>
        <w:jc w:val="both"/>
        <w:rPr>
          <w:bCs/>
          <w:lang w:val="fr-CA"/>
        </w:rPr>
      </w:pPr>
      <w:proofErr w:type="spellStart"/>
      <w:r>
        <w:rPr>
          <w:bCs/>
          <w:lang w:val="fr-CA"/>
        </w:rPr>
        <w:t>Busbud</w:t>
      </w:r>
      <w:proofErr w:type="spellEnd"/>
      <w:r>
        <w:rPr>
          <w:bCs/>
          <w:lang w:val="fr-CA"/>
        </w:rPr>
        <w:t xml:space="preserve">, dans le cadre du règlement, indemnisera les membres du groupe pour les honoraires d’avocat, les débours et tout </w:t>
      </w:r>
      <w:proofErr w:type="spellStart"/>
      <w:r>
        <w:rPr>
          <w:bCs/>
          <w:lang w:val="fr-CA"/>
        </w:rPr>
        <w:t>honorarium</w:t>
      </w:r>
      <w:proofErr w:type="spellEnd"/>
      <w:r>
        <w:rPr>
          <w:bCs/>
          <w:lang w:val="fr-CA"/>
        </w:rPr>
        <w:t xml:space="preserve"> à la plaignante le cas échéant pour un montant total de 150 000$ plus les taxes applicables. </w:t>
      </w:r>
      <w:r w:rsidRPr="007C54DE">
        <w:rPr>
          <w:bCs/>
          <w:lang w:val="fr-CA"/>
        </w:rPr>
        <w:t>Cette indemnisation est égalemen</w:t>
      </w:r>
      <w:r w:rsidRPr="007C54DE">
        <w:rPr>
          <w:bCs/>
          <w:lang w:val="fr-CA"/>
        </w:rPr>
        <w:t xml:space="preserve">t sujette à approbation par la Cour. </w:t>
      </w:r>
    </w:p>
    <w:p w14:paraId="7CA9C8F8" w14:textId="77777777" w:rsidR="006D6E6C" w:rsidRPr="007C54DE" w:rsidRDefault="006D6E6C">
      <w:pPr>
        <w:tabs>
          <w:tab w:val="left" w:pos="4863"/>
        </w:tabs>
        <w:spacing w:before="117"/>
        <w:ind w:right="115"/>
        <w:jc w:val="both"/>
        <w:rPr>
          <w:b/>
          <w:sz w:val="21"/>
          <w:u w:val="thick"/>
          <w:lang w:val="fr-CA"/>
        </w:rPr>
      </w:pPr>
    </w:p>
    <w:p w14:paraId="188FDC1D" w14:textId="43CD8A69" w:rsidR="006D6E6C" w:rsidRDefault="006A7C93">
      <w:pPr>
        <w:tabs>
          <w:tab w:val="left" w:pos="4863"/>
        </w:tabs>
        <w:spacing w:before="117"/>
        <w:ind w:right="115"/>
        <w:jc w:val="both"/>
        <w:rPr>
          <w:b/>
          <w:sz w:val="21"/>
          <w:lang w:val="fr-CA"/>
        </w:rPr>
      </w:pPr>
      <w:r>
        <w:rPr>
          <w:b/>
          <w:sz w:val="21"/>
          <w:u w:val="thick"/>
          <w:lang w:val="fr-CA"/>
        </w:rPr>
        <w:t>CET AVIS N’EST QU’UN AVIS SOMMAIRE</w:t>
      </w:r>
      <w:r>
        <w:rPr>
          <w:b/>
          <w:sz w:val="21"/>
          <w:lang w:val="fr-CA"/>
        </w:rPr>
        <w:t>. S’il devait y avoir une divergence entre cet avis sommaire et l’entente de règlement, l’entente de règlement prévaudra. Veuillez visiter le site</w:t>
      </w:r>
      <w:hyperlink r:id="rId10" w:history="1">
        <w:r w:rsidR="007C54DE" w:rsidRPr="00167739">
          <w:rPr>
            <w:rStyle w:val="Hyperlink"/>
            <w:b/>
            <w:sz w:val="21"/>
            <w:lang w:val="fr-CA"/>
          </w:rPr>
          <w:t xml:space="preserve"> </w:t>
        </w:r>
        <w:r w:rsidR="007C54DE" w:rsidRPr="00167739">
          <w:rPr>
            <w:rStyle w:val="Hyperlink"/>
            <w:b/>
            <w:sz w:val="21"/>
            <w:lang w:val="fr-CA"/>
          </w:rPr>
          <w:t>https://champlainavocats.com/action-</w:t>
        </w:r>
        <w:bookmarkStart w:id="1" w:name="_GoBack"/>
        <w:bookmarkEnd w:id="1"/>
        <w:r w:rsidR="007C54DE" w:rsidRPr="00167739">
          <w:rPr>
            <w:rStyle w:val="Hyperlink"/>
            <w:b/>
            <w:sz w:val="21"/>
            <w:lang w:val="fr-CA"/>
          </w:rPr>
          <w:t>collective/busbud/</w:t>
        </w:r>
        <w:r w:rsidR="007C54DE" w:rsidRPr="00167739">
          <w:rPr>
            <w:rStyle w:val="Hyperlink"/>
            <w:b/>
            <w:sz w:val="21"/>
            <w:lang w:val="fr-CA"/>
          </w:rPr>
          <w:t xml:space="preserve"> </w:t>
        </w:r>
      </w:hyperlink>
      <w:r>
        <w:rPr>
          <w:b/>
          <w:spacing w:val="-9"/>
          <w:sz w:val="21"/>
          <w:lang w:val="fr-CA"/>
        </w:rPr>
        <w:t>pour plus d’informations sur l’entente de règlement.</w:t>
      </w:r>
      <w:r>
        <w:rPr>
          <w:b/>
          <w:sz w:val="21"/>
          <w:lang w:val="fr-CA"/>
        </w:rPr>
        <w:t xml:space="preserve"> </w:t>
      </w:r>
    </w:p>
    <w:sectPr w:rsidR="006D6E6C">
      <w:type w:val="continuous"/>
      <w:pgSz w:w="12240" w:h="15840"/>
      <w:pgMar w:top="780" w:right="600" w:bottom="288" w:left="6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num="2" w:space="720" w:equalWidth="0">
        <w:col w:w="5184" w:space="576"/>
        <w:col w:w="52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9B8F3" w14:textId="77777777" w:rsidR="006A7C93" w:rsidRDefault="006A7C93">
      <w:r>
        <w:separator/>
      </w:r>
    </w:p>
  </w:endnote>
  <w:endnote w:type="continuationSeparator" w:id="0">
    <w:p w14:paraId="5871EFE1" w14:textId="77777777" w:rsidR="006A7C93" w:rsidRDefault="006A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B2AEA" w14:textId="77777777" w:rsidR="006D6E6C" w:rsidRDefault="006A7C93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360045" distB="0" distL="114300" distR="114300" simplePos="0" relativeHeight="251659264" behindDoc="0" locked="0" layoutInCell="1" allowOverlap="0" wp14:anchorId="13D99DA4" wp14:editId="1E814A96">
              <wp:simplePos x="0" y="0"/>
              <wp:positionH relativeFrom="margin">
                <wp:posOffset>-635</wp:posOffset>
              </wp:positionH>
              <wp:positionV relativeFrom="paragraph">
                <wp:posOffset>0</wp:posOffset>
              </wp:positionV>
              <wp:extent cx="5943600" cy="612000"/>
              <wp:effectExtent l="0" t="0" r="0" b="17145"/>
              <wp:wrapNone/>
              <wp:docPr id="24" name="DocsID_PF43622865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72432" w14:textId="77777777" w:rsidR="006D6E6C" w:rsidRDefault="006A7C93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"DocsID"  \* MERGEFORMAT </w:instrText>
                          </w:r>
                          <w:r>
                            <w:fldChar w:fldCharType="separate"/>
                          </w:r>
                          <w:r>
                            <w:t>CAN_DMS: \128049394\2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99DA4" id="_x0000_t202" coordsize="21600,21600" o:spt="202" path="m,l,21600r21600,l21600,xe">
              <v:stroke joinstyle="miter"/>
              <v:path gradientshapeok="t" o:connecttype="rect"/>
            </v:shapetype>
            <v:shape id="DocsID_PF4362286511" o:spid="_x0000_s1026" type="#_x0000_t202" style="position:absolute;margin-left:-.05pt;margin-top:0;width:468pt;height:48.2pt;z-index:251659264;visibility:visible;mso-wrap-style:square;mso-width-percent:0;mso-height-percent:0;mso-wrap-distance-left:9pt;mso-wrap-distance-top:28.35pt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" o:allowoverlap="f" filled="f" stroked="f">
              <v:textbox inset="0,0,0,0">
                <w:txbxContent>
                  <w:p w14:paraId="61172432" w14:textId="77777777" w:rsidR="006D6E6C" w:rsidRDefault="006A7C93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>
                      <w:t>CAN_DMS: \128049394\2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112DA" w14:textId="77777777" w:rsidR="006A7C93" w:rsidRDefault="006A7C93">
      <w:r>
        <w:separator/>
      </w:r>
    </w:p>
  </w:footnote>
  <w:footnote w:type="continuationSeparator" w:id="0">
    <w:p w14:paraId="0A1C830C" w14:textId="77777777" w:rsidR="006A7C93" w:rsidRDefault="006A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C91A9" w14:textId="77777777" w:rsidR="006D6E6C" w:rsidRDefault="006A7C9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B435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801D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5C49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6A40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2289A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5E5C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08D0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26EA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365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4E8E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30F12"/>
    <w:multiLevelType w:val="hybridMultilevel"/>
    <w:tmpl w:val="B502C3C2"/>
    <w:lvl w:ilvl="0" w:tplc="64C66B64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31"/>
        <w:sz w:val="24"/>
        <w:szCs w:val="24"/>
      </w:rPr>
    </w:lvl>
    <w:lvl w:ilvl="1" w:tplc="563CD318">
      <w:numFmt w:val="bullet"/>
      <w:lvlText w:val="•"/>
      <w:lvlJc w:val="left"/>
      <w:pPr>
        <w:ind w:left="932" w:hanging="360"/>
      </w:pPr>
      <w:rPr>
        <w:rFonts w:hint="default"/>
      </w:rPr>
    </w:lvl>
    <w:lvl w:ilvl="2" w:tplc="BF827BB2">
      <w:numFmt w:val="bullet"/>
      <w:lvlText w:val="•"/>
      <w:lvlJc w:val="left"/>
      <w:pPr>
        <w:ind w:left="1404" w:hanging="360"/>
      </w:pPr>
      <w:rPr>
        <w:rFonts w:hint="default"/>
      </w:rPr>
    </w:lvl>
    <w:lvl w:ilvl="3" w:tplc="D106930A">
      <w:numFmt w:val="bullet"/>
      <w:lvlText w:val="•"/>
      <w:lvlJc w:val="left"/>
      <w:pPr>
        <w:ind w:left="1877" w:hanging="360"/>
      </w:pPr>
      <w:rPr>
        <w:rFonts w:hint="default"/>
      </w:rPr>
    </w:lvl>
    <w:lvl w:ilvl="4" w:tplc="69D0F254">
      <w:numFmt w:val="bullet"/>
      <w:lvlText w:val="•"/>
      <w:lvlJc w:val="left"/>
      <w:pPr>
        <w:ind w:left="2349" w:hanging="360"/>
      </w:pPr>
      <w:rPr>
        <w:rFonts w:hint="default"/>
      </w:rPr>
    </w:lvl>
    <w:lvl w:ilvl="5" w:tplc="0E8A1C42">
      <w:numFmt w:val="bullet"/>
      <w:lvlText w:val="•"/>
      <w:lvlJc w:val="left"/>
      <w:pPr>
        <w:ind w:left="2821" w:hanging="360"/>
      </w:pPr>
      <w:rPr>
        <w:rFonts w:hint="default"/>
      </w:rPr>
    </w:lvl>
    <w:lvl w:ilvl="6" w:tplc="88E8A76A">
      <w:numFmt w:val="bullet"/>
      <w:lvlText w:val="•"/>
      <w:lvlJc w:val="left"/>
      <w:pPr>
        <w:ind w:left="3294" w:hanging="360"/>
      </w:pPr>
      <w:rPr>
        <w:rFonts w:hint="default"/>
      </w:rPr>
    </w:lvl>
    <w:lvl w:ilvl="7" w:tplc="11F06A1A">
      <w:numFmt w:val="bullet"/>
      <w:lvlText w:val="•"/>
      <w:lvlJc w:val="left"/>
      <w:pPr>
        <w:ind w:left="3766" w:hanging="360"/>
      </w:pPr>
      <w:rPr>
        <w:rFonts w:hint="default"/>
      </w:rPr>
    </w:lvl>
    <w:lvl w:ilvl="8" w:tplc="0182572E">
      <w:numFmt w:val="bullet"/>
      <w:lvlText w:val="•"/>
      <w:lvlJc w:val="left"/>
      <w:pPr>
        <w:ind w:left="4238" w:hanging="360"/>
      </w:pPr>
      <w:rPr>
        <w:rFonts w:hint="default"/>
      </w:rPr>
    </w:lvl>
  </w:abstractNum>
  <w:abstractNum w:abstractNumId="11" w15:restartNumberingAfterBreak="0">
    <w:nsid w:val="55D053BA"/>
    <w:multiLevelType w:val="hybridMultilevel"/>
    <w:tmpl w:val="A4888AFA"/>
    <w:lvl w:ilvl="0" w:tplc="DB18BA6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E6C"/>
    <w:rsid w:val="006A7C93"/>
    <w:rsid w:val="006D6E6C"/>
    <w:rsid w:val="007C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845CB"/>
  <w15:docId w15:val="{D149DAFC-D642-4F11-80F9-68C30610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29" w:unhideWhenUsed="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29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2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unhideWhenUsed="1"/>
    <w:lsdException w:name="Subtle Reference" w:unhideWhenUsed="1"/>
    <w:lsdException w:name="Intense Reference" w:unhideWhenUsed="1"/>
    <w:lsdException w:name="Book Title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29"/>
    <w:unhideWhenUsed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9"/>
    <w:semiHidden/>
    <w:unhideWhenUsed/>
    <w:pPr>
      <w:spacing w:before="160"/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pPr>
      <w:spacing w:before="160"/>
      <w:ind w:left="100" w:right="39"/>
      <w:jc w:val="both"/>
    </w:pPr>
    <w:rPr>
      <w:sz w:val="21"/>
      <w:szCs w:val="21"/>
    </w:rPr>
  </w:style>
  <w:style w:type="paragraph" w:styleId="ListParagraph">
    <w:name w:val="List Paragraph"/>
    <w:basedOn w:val="Normal"/>
    <w:uiPriority w:val="99"/>
    <w:semiHidden/>
    <w:unhideWhenUsed/>
    <w:pPr>
      <w:spacing w:before="179"/>
      <w:ind w:left="527" w:right="38" w:hanging="427"/>
      <w:jc w:val="both"/>
    </w:pPr>
  </w:style>
  <w:style w:type="paragraph" w:customStyle="1" w:styleId="TableParagraph">
    <w:name w:val="Table Paragraph"/>
    <w:basedOn w:val="Normal"/>
    <w:uiPriority w:val="29"/>
    <w:qFormat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Arial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eastAsia="Arial" w:hAnsi="Arial" w:cs="Arial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eastAsia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before="0"/>
      <w:ind w:left="0" w:right="0" w:firstLine="360"/>
      <w:jc w:val="left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eastAsia="Arial" w:hAnsi="Arial" w:cs="Arial"/>
      <w:sz w:val="21"/>
      <w:szCs w:val="21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Arial" w:eastAsia="Arial" w:hAnsi="Arial" w:cs="Arial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eastAsia="Arial" w:hAnsi="Arial" w:cs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Arial" w:eastAsia="Arial" w:hAnsi="Arial" w:cs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eastAsia="Arial" w:hAnsi="Arial" w:cs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eastAsia="Arial" w:hAnsi="Arial" w:cs="Arial"/>
      <w:sz w:val="16"/>
      <w:szCs w:val="16"/>
    </w:rPr>
  </w:style>
  <w:style w:type="character" w:styleId="BookTitle">
    <w:name w:val="Book Title"/>
    <w:basedOn w:val="DefaultParagraphFont"/>
    <w:uiPriority w:val="99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unhideWhenUsed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29"/>
    <w:unhideWhenUsed/>
    <w:qFormat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eastAsia="Arial" w:hAnsi="Arial" w:cs="Arial"/>
    </w:rPr>
  </w:style>
  <w:style w:type="table" w:styleId="ColorfulGrid">
    <w:name w:val="Colorful Grid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Arial" w:hAnsi="Arial" w:cs="Arial"/>
      <w:b/>
      <w:bCs/>
      <w:sz w:val="20"/>
      <w:szCs w:val="20"/>
    </w:rPr>
  </w:style>
  <w:style w:type="table" w:styleId="DarkList">
    <w:name w:val="Dark List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29"/>
    <w:unhideWhenUsed/>
    <w:qFormat/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eastAsia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eastAsia="Arial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Arial" w:eastAsia="Arial" w:hAnsi="Arial" w:cs="Arial"/>
    </w:rPr>
  </w:style>
  <w:style w:type="character" w:styleId="Emphasis">
    <w:name w:val="Emphasis"/>
    <w:basedOn w:val="DefaultParagraphFont"/>
    <w:uiPriority w:val="99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eastAsia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Arial" w:eastAsia="Arial" w:hAnsi="Arial" w:cs="Arial"/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Arial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eastAsia="Arial" w:hAnsi="Arial" w:cs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semiHidden/>
    <w:unhideWhenUsed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Arial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eastAsia="Arial" w:hAnsi="Consolas" w:cs="Consolas"/>
      <w:sz w:val="20"/>
      <w:szCs w:val="20"/>
    </w:rPr>
  </w:style>
  <w:style w:type="table" w:styleId="MediumGrid1">
    <w:name w:val="Medium Grid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29"/>
    <w:unhideWhenUsed/>
    <w:qFormat/>
  </w:style>
  <w:style w:type="character" w:styleId="PlaceholderText">
    <w:name w:val="Placeholder Text"/>
    <w:basedOn w:val="DefaultParagraphFont"/>
    <w:uiPriority w:val="99"/>
    <w:semiHidden/>
    <w:unhideWhenUsed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eastAsia="Arial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eastAsia="Arial" w:hAnsi="Arial" w:cs="Arial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Arial" w:eastAsia="Arial" w:hAnsi="Arial" w:cs="Arial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Arial" w:eastAsia="Arial" w:hAnsi="Arial" w:cs="Arial"/>
    </w:rPr>
  </w:style>
  <w:style w:type="character" w:styleId="Strong">
    <w:name w:val="Strong"/>
    <w:basedOn w:val="DefaultParagraphFont"/>
    <w:uiPriority w:val="99"/>
    <w:semiHidden/>
    <w:unhideWhenUsed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unhideWhenUsed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unhideWhenUsed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DocsID">
    <w:name w:val="DocsID"/>
    <w:basedOn w:val="Normal"/>
    <w:uiPriority w:val="29"/>
    <w:qFormat/>
    <w:pPr>
      <w:autoSpaceDE/>
      <w:autoSpaceDN/>
      <w:spacing w:before="20" w:line="160" w:lineRule="exact"/>
    </w:pPr>
    <w:rPr>
      <w:rFonts w:eastAsia="Times New Roman" w:cs="Times New Roman"/>
      <w:sz w:val="16"/>
      <w:szCs w:val="13"/>
      <w:lang w:val="en-CA"/>
    </w:rPr>
  </w:style>
  <w:style w:type="character" w:customStyle="1" w:styleId="Prompt">
    <w:name w:val="Prompt"/>
    <w:basedOn w:val="DefaultParagraphFont"/>
    <w:uiPriority w:val="29"/>
    <w:qFormat/>
    <w:rPr>
      <w:color w:val="0000FF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C5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hamplainavocats.com/action-collective/busbud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891E-E41D-4E0C-B7A5-C86C3A94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3676</Characters>
  <Application>Microsoft Office Word</Application>
  <DocSecurity>0</DocSecurity>
  <Lines>282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Sebastien</cp:lastModifiedBy>
  <cp:revision>2</cp:revision>
  <dcterms:created xsi:type="dcterms:W3CDTF">2019-09-24T16:02:00Z</dcterms:created>
  <dcterms:modified xsi:type="dcterms:W3CDTF">2019-09-24T16:05:00Z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CAN_DMS: \128049394\2</vt:lpwstr>
  </property>
</Properties>
</file>